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Системно-аналитические технологии в государственном управлении</w:t>
            </w:r>
          </w:p>
          <w:p>
            <w:pPr>
              <w:jc w:val="center"/>
              <w:spacing w:after="0" w:line="240" w:lineRule="auto"/>
              <w:rPr>
                <w:sz w:val="32"/>
                <w:szCs w:val="32"/>
              </w:rPr>
            </w:pPr>
            <w:r>
              <w:rPr>
                <w:rFonts w:ascii="Times New Roman" w:hAnsi="Times New Roman" w:cs="Times New Roman"/>
                <w:color w:val="#000000"/>
                <w:sz w:val="32"/>
                <w:szCs w:val="32"/>
              </w:rPr>
              <w:t> Б1.О.08.11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«Системно- аналитические технологии в государственном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Б1.О.08.11 «Системно-аналитические технологии в государственном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«Системно-аналитические технологии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Б1.О.08.11 «Системно-аналитические технологии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4679" w:type="dxa"/>
          </w:tcPr>
          <w:p/>
        </w:tc>
        <w:tc>
          <w:tcPr>
            <w:tcW w:w="993" w:type="dxa"/>
          </w:tcPr>
          <w:p/>
        </w:tc>
      </w:tr>
      <w:tr>
        <w:trPr>
          <w:trHeight w:hRule="exact" w:val="277.8308"/>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2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Система государственного и муниципального управления сферой государственно-частного партнерства в субъекте РФ</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практика)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p>
            <w:pPr>
              <w:jc w:val="center"/>
              <w:spacing w:after="0" w:line="240" w:lineRule="auto"/>
              <w:rPr>
                <w:sz w:val="22"/>
                <w:szCs w:val="22"/>
              </w:rPr>
            </w:pPr>
            <w:r>
              <w:rPr>
                <w:rFonts w:ascii="Times New Roman" w:hAnsi="Times New Roman" w:cs="Times New Roman"/>
                <w:color w:val="#000000"/>
                <w:sz w:val="22"/>
                <w:szCs w:val="22"/>
              </w:rPr>
              <w:t> Государственная автоматизированная информационная система (ГАС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в исследовании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Общенаучные и специальные методы исследования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организации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23.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как объект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и методика научного исследования. Элементы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Идентификация объекта исследо¬вания. Задачи и методы идентификации объектов исследования.</w:t>
            </w:r>
          </w:p>
          <w:p>
            <w:pPr>
              <w:jc w:val="both"/>
              <w:spacing w:after="0" w:line="240" w:lineRule="auto"/>
              <w:rPr>
                <w:sz w:val="24"/>
                <w:szCs w:val="24"/>
              </w:rPr>
            </w:pPr>
            <w:r>
              <w:rPr>
                <w:rFonts w:ascii="Times New Roman" w:hAnsi="Times New Roman" w:cs="Times New Roman"/>
                <w:color w:val="#000000"/>
                <w:sz w:val="24"/>
                <w:szCs w:val="24"/>
              </w:rPr>
              <w:t> Практичес¬кая формула диалектического подхода к исследованию. Логический аппа-рат исследования систем управления.</w:t>
            </w:r>
          </w:p>
          <w:p>
            <w:pPr>
              <w:jc w:val="both"/>
              <w:spacing w:after="0" w:line="240" w:lineRule="auto"/>
              <w:rPr>
                <w:sz w:val="24"/>
                <w:szCs w:val="24"/>
              </w:rPr>
            </w:pPr>
            <w:r>
              <w:rPr>
                <w:rFonts w:ascii="Times New Roman" w:hAnsi="Times New Roman" w:cs="Times New Roman"/>
                <w:color w:val="#000000"/>
                <w:sz w:val="24"/>
                <w:szCs w:val="24"/>
              </w:rPr>
              <w:t> Научная и практическая эффективность исследования. Функциональная роль иссле- дования в развитии систем управления. Системный подход и системный анализ в иссле- довании управления.</w:t>
            </w:r>
          </w:p>
          <w:p>
            <w:pPr>
              <w:jc w:val="both"/>
              <w:spacing w:after="0" w:line="240" w:lineRule="auto"/>
              <w:rPr>
                <w:sz w:val="24"/>
                <w:szCs w:val="24"/>
              </w:rPr>
            </w:pPr>
            <w:r>
              <w:rPr>
                <w:rFonts w:ascii="Times New Roman" w:hAnsi="Times New Roman" w:cs="Times New Roman"/>
                <w:color w:val="#000000"/>
                <w:sz w:val="24"/>
                <w:szCs w:val="24"/>
              </w:rPr>
              <w:t> Ключевые понятия, методология и аппарат общей теории систем. Принцип изомор-физма и его практическое значение.</w:t>
            </w:r>
          </w:p>
          <w:p>
            <w:pPr>
              <w:jc w:val="both"/>
              <w:spacing w:after="0" w:line="240" w:lineRule="auto"/>
              <w:rPr>
                <w:sz w:val="24"/>
                <w:szCs w:val="24"/>
              </w:rPr>
            </w:pPr>
            <w:r>
              <w:rPr>
                <w:rFonts w:ascii="Times New Roman" w:hAnsi="Times New Roman" w:cs="Times New Roman"/>
                <w:color w:val="#000000"/>
                <w:sz w:val="24"/>
                <w:szCs w:val="24"/>
              </w:rPr>
              <w:t> Основные задачи общей теории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в исследовании систем управления</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Прямая и косвенная аналогия. Физические и математические модели. Математиче-ское моделирование социально-эконо¬миче¬ских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математических моделей. Кибернетические системы. Сис¬темы гер- мейеровского типа.</w:t>
            </w:r>
          </w:p>
          <w:p>
            <w:pPr>
              <w:jc w:val="both"/>
              <w:spacing w:after="0" w:line="240" w:lineRule="auto"/>
              <w:rPr>
                <w:sz w:val="24"/>
                <w:szCs w:val="24"/>
              </w:rPr>
            </w:pPr>
            <w:r>
              <w:rPr>
                <w:rFonts w:ascii="Times New Roman" w:hAnsi="Times New Roman" w:cs="Times New Roman"/>
                <w:color w:val="#000000"/>
                <w:sz w:val="24"/>
                <w:szCs w:val="24"/>
              </w:rPr>
              <w:t> 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p>
            <w:pPr>
              <w:jc w:val="both"/>
              <w:spacing w:after="0" w:line="240" w:lineRule="auto"/>
              <w:rPr>
                <w:sz w:val="24"/>
                <w:szCs w:val="24"/>
              </w:rPr>
            </w:pPr>
            <w:r>
              <w:rPr>
                <w:rFonts w:ascii="Times New Roman" w:hAnsi="Times New Roman" w:cs="Times New Roman"/>
                <w:color w:val="#000000"/>
                <w:sz w:val="24"/>
                <w:szCs w:val="24"/>
              </w:rPr>
              <w:t> Имитационное моделирование и его роль в исследовании систем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Общенаучные и специальные методы исследования систем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pPr>
              <w:jc w:val="both"/>
              <w:spacing w:after="0" w:line="240" w:lineRule="auto"/>
              <w:rPr>
                <w:sz w:val="24"/>
                <w:szCs w:val="24"/>
              </w:rPr>
            </w:pPr>
            <w:r>
              <w:rPr>
                <w:rFonts w:ascii="Times New Roman" w:hAnsi="Times New Roman" w:cs="Times New Roman"/>
                <w:color w:val="#000000"/>
                <w:sz w:val="24"/>
                <w:szCs w:val="24"/>
              </w:rPr>
              <w:t> 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 мационных материалов; фукнкционально-стоимостной анализ; декомпозиция; последова- тельная подстановка; сравнение; динамический; структуризация целей; экспертный; со- циологический.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как объект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исследований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организации управления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«Системно- аналитические технологии в государственном управлении»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Агенты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Евстратчик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Москальчук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Уразгалиев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978-5-534-05290-9.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https://urait.ru/bcode/451477</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https://urait.ru/bcode/476909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предоставления</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электронном</w:t>
            </w:r>
            <w:r>
              <w:rPr/>
              <w:t xml:space="preserve"> </w:t>
            </w:r>
            <w:r>
              <w:rPr>
                <w:rFonts w:ascii="Times New Roman" w:hAnsi="Times New Roman" w:cs="Times New Roman"/>
                <w:color w:val="#000000"/>
                <w:sz w:val="24"/>
                <w:szCs w:val="24"/>
              </w:rPr>
              <w:t>виде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субъекте</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http://www.iprbookshop.ru/87202.html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Цифра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Шатохин,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Слоботчикова,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Цифра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978-5-6043442-2-4.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«Бережливое</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Гусельникова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https://urait.ru/bcode/477258</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27.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2024-2025_ФГОС3++2024_Маг-ЗФО-ГМУ(ЮО)(24)_plx_Системно-аналитические технологии в государственном управлении</dc:title>
  <dc:creator>FastReport.NET</dc:creator>
</cp:coreProperties>
</file>